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vozmwxgngmgm" w:id="0"/>
      <w:bookmarkEnd w:id="0"/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</w:rPr>
        <w:drawing>
          <wp:inline distB="114300" distT="114300" distL="114300" distR="114300">
            <wp:extent cx="5943600" cy="6731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3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u0gmbei0b6q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7bzbcvob9zdq" w:id="2"/>
      <w:bookmarkEnd w:id="2"/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Talking about Course Disruptions: Resources from Panelists 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Please feel free to reach out directly to any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consultant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at the Schreyer Institute or email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site@psu.edu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with questions or to discuss your response/follow-up to a course disruption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Conversations with SITE consultants are always confidential. </w:t>
      </w:r>
    </w:p>
    <w:p w:rsidR="00000000" w:rsidDel="00000000" w:rsidP="00000000" w:rsidRDefault="00000000" w:rsidRPr="00000000" w14:paraId="00000005">
      <w:pPr>
        <w:widowControl w:val="0"/>
        <w:spacing w:after="200" w:before="240" w:line="240" w:lineRule="auto"/>
        <w:rPr>
          <w:rFonts w:ascii="Calibri" w:cs="Calibri" w:eastAsia="Calibri" w:hAnsi="Calibri"/>
        </w:rPr>
      </w:pPr>
      <w:hyperlink r:id="rId9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Managing Disruptive Behavior in the Classroom Flowchart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Penn State Student Affairs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200" w:before="240" w:line="240" w:lineRule="auto"/>
        <w:rPr>
          <w:rFonts w:ascii="Calibri" w:cs="Calibri" w:eastAsia="Calibri" w:hAnsi="Calibri"/>
          <w:b w:val="1"/>
        </w:rPr>
      </w:pPr>
      <w:hyperlink r:id="rId10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Classroom Disruption Protocols: Guidelines for Instructors and Academic Units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Office of the Vice Provost for Educational Equity)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200" w:line="240" w:lineRule="auto"/>
        <w:rPr>
          <w:rFonts w:ascii="Calibri" w:cs="Calibri" w:eastAsia="Calibri" w:hAnsi="Calibri"/>
          <w:i w:val="1"/>
        </w:rPr>
      </w:pPr>
      <w:hyperlink r:id="rId11">
        <w:r w:rsidDel="00000000" w:rsidR="00000000" w:rsidRPr="00000000">
          <w:rPr>
            <w:rFonts w:ascii="Calibri" w:cs="Calibri" w:eastAsia="Calibri" w:hAnsi="Calibri"/>
            <w:color w:val="1155cc"/>
            <w:highlight w:val="white"/>
            <w:u w:val="single"/>
            <w:rtl w:val="0"/>
          </w:rPr>
          <w:t xml:space="preserve">Taking ACTION: Responding to Disruptions and Microaggressions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Schreyer Institute for Teaching Excellence, Penn State.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200" w:line="240" w:lineRule="auto"/>
        <w:rPr>
          <w:rFonts w:ascii="Calibri" w:cs="Calibri" w:eastAsia="Calibri" w:hAnsi="Calibri"/>
        </w:rPr>
      </w:pPr>
      <w:hyperlink r:id="rId12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Navigating Disruptions in the Moment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Schreyer Institute for Teaching Excellence, Penn State.</w:t>
      </w:r>
    </w:p>
    <w:p w:rsidR="00000000" w:rsidDel="00000000" w:rsidP="00000000" w:rsidRDefault="00000000" w:rsidRPr="00000000" w14:paraId="00000009">
      <w:pPr>
        <w:widowControl w:val="0"/>
        <w:spacing w:after="200" w:line="240" w:lineRule="auto"/>
        <w:rPr>
          <w:rFonts w:ascii="Calibri" w:cs="Calibri" w:eastAsia="Calibri" w:hAnsi="Calibri"/>
        </w:rPr>
      </w:pPr>
      <w:hyperlink r:id="rId13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Course Communication Resources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Schreyer Institute for Teaching Excellence, Penn State. Recommended resources to guide instructors as they create expectations for students’ participation in their courses. </w:t>
      </w:r>
    </w:p>
    <w:p w:rsidR="00000000" w:rsidDel="00000000" w:rsidP="00000000" w:rsidRDefault="00000000" w:rsidRPr="00000000" w14:paraId="0000000A">
      <w:pPr>
        <w:widowControl w:val="0"/>
        <w:spacing w:after="200" w:line="240" w:lineRule="auto"/>
        <w:rPr>
          <w:rFonts w:ascii="Calibri" w:cs="Calibri" w:eastAsia="Calibri" w:hAnsi="Calibri"/>
        </w:rPr>
      </w:pPr>
      <w:hyperlink r:id="rId14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Responding to Disruptions in Asynchronous Courses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Online Faculty Development, World Campus.</w:t>
      </w:r>
    </w:p>
    <w:p w:rsidR="00000000" w:rsidDel="00000000" w:rsidP="00000000" w:rsidRDefault="00000000" w:rsidRPr="00000000" w14:paraId="0000000B">
      <w:pPr>
        <w:widowControl w:val="0"/>
        <w:spacing w:after="200" w:line="240" w:lineRule="auto"/>
        <w:rPr>
          <w:rFonts w:ascii="Calibri" w:cs="Calibri" w:eastAsia="Calibri" w:hAnsi="Calibri"/>
        </w:rPr>
      </w:pPr>
      <w:hyperlink r:id="rId15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Responding to Student Behavior in the Classroom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Web Learning, Penn State</w:t>
      </w:r>
    </w:p>
    <w:p w:rsidR="00000000" w:rsidDel="00000000" w:rsidP="00000000" w:rsidRDefault="00000000" w:rsidRPr="00000000" w14:paraId="0000000C">
      <w:pPr>
        <w:widowControl w:val="0"/>
        <w:shd w:fill="ffffff" w:val="clear"/>
        <w:spacing w:after="200" w:line="240" w:lineRule="auto"/>
        <w:rPr>
          <w:rFonts w:ascii="Calibri" w:cs="Calibri" w:eastAsia="Calibri" w:hAnsi="Calibri"/>
        </w:rPr>
      </w:pPr>
      <w:hyperlink r:id="rId1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Report a Concern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Penn State Student Affairs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rFonts w:ascii="Calibri" w:cs="Calibri" w:eastAsia="Calibri" w:hAnsi="Calibri"/>
        </w:rPr>
      </w:pPr>
      <w:hyperlink r:id="rId1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Submitting a Bias Report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Penn State Bias Response Network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630" w:firstLine="0"/>
        <w:rPr>
          <w:rFonts w:ascii="Calibri" w:cs="Calibri" w:eastAsia="Calibri" w:hAnsi="Calibri"/>
        </w:rPr>
      </w:pPr>
      <w:hyperlink r:id="rId1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Building Inclusive Campus Environments: Leadership for Bias Response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Educational Equity, Provost Endorsement. 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rFonts w:ascii="Calibri" w:cs="Calibri" w:eastAsia="Calibri" w:hAnsi="Calibri"/>
        </w:rPr>
      </w:pPr>
      <w:hyperlink r:id="rId19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Red Folder at Penn State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Students may experience different levels of distress across various areas of their lives. The type and amount of distress they are experiencing will require different actions and resources.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Outside Resources for Building Inclusive Classrooms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hyperlink r:id="rId20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https://teaching.cornell.edu/teaching-resources/building-inclusive-classrooms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hyperlink r:id="rId21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https://crlt.umich.edu/gsis/p3_1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hyperlink r:id="rId22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https://access.ucf.edu/document/tips-for-creating-inclusive-college-classrooms/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hyperlink r:id="rId23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https://www.insidehighered.com/advice/2020/08/05/small-steps-instructors-can-take-build-more-inclusive-classrooms-opinion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200" w:line="240" w:lineRule="auto"/>
        <w:rPr>
          <w:rFonts w:ascii="Calibri" w:cs="Calibri" w:eastAsia="Calibri" w:hAnsi="Calibri"/>
        </w:rPr>
      </w:pPr>
      <w:hyperlink r:id="rId24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Guidelines for dealing with disruptive students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Northern Arizona University.</w:t>
      </w:r>
    </w:p>
    <w:p w:rsidR="00000000" w:rsidDel="00000000" w:rsidP="00000000" w:rsidRDefault="00000000" w:rsidRPr="00000000" w14:paraId="0000001A">
      <w:pPr>
        <w:widowControl w:val="0"/>
        <w:spacing w:after="200" w:line="240" w:lineRule="auto"/>
        <w:rPr>
          <w:rFonts w:ascii="Calibri" w:cs="Calibri" w:eastAsia="Calibri" w:hAnsi="Calibri"/>
        </w:rPr>
      </w:pPr>
      <w:hyperlink r:id="rId25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Request for Conflict Response Consultation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Penn State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200" w:line="240" w:lineRule="auto"/>
        <w:rPr>
          <w:rFonts w:ascii="Calibri" w:cs="Calibri" w:eastAsia="Calibri" w:hAnsi="Calibri"/>
        </w:rPr>
      </w:pPr>
      <w:hyperlink r:id="rId2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Resources for Faculty and Staff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Office of Student Accountability &amp; Conflict Response (OSACR), Student Affairs, Penn State.</w:t>
      </w:r>
    </w:p>
    <w:p w:rsidR="00000000" w:rsidDel="00000000" w:rsidP="00000000" w:rsidRDefault="00000000" w:rsidRPr="00000000" w14:paraId="0000001C">
      <w:pPr>
        <w:widowControl w:val="0"/>
        <w:spacing w:after="200" w:line="240" w:lineRule="auto"/>
        <w:rPr>
          <w:rFonts w:ascii="Calibri" w:cs="Calibri" w:eastAsia="Calibri" w:hAnsi="Calibri"/>
        </w:rPr>
      </w:pPr>
      <w:hyperlink r:id="rId2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Oops Ouch Protocol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Citation</w:t>
      </w:r>
    </w:p>
    <w:p w:rsidR="00000000" w:rsidDel="00000000" w:rsidP="00000000" w:rsidRDefault="00000000" w:rsidRPr="00000000" w14:paraId="00000020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Adapted from: Talking about Teaching: Course Disruptions Panel, Meg Brower, Office of Student Accountability and Conflict Response; Ashley Patterson, Educational Equity; Lorraine Dowler; Beate Brunow &amp; Angela Linse, Schreyer Institute for Teaching Excellence, Penn State, October 31, 2024.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rPr>
          <w:rFonts w:ascii="Calibri" w:cs="Calibri" w:eastAsia="Calibri" w:hAnsi="Calibri"/>
          <w:sz w:val="18"/>
          <w:szCs w:val="1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highlight w:val="white"/>
          <w:rtl w:val="0"/>
        </w:rPr>
        <w:t xml:space="preserve">Creative Commons</w:t>
      </w:r>
      <w:hyperlink r:id="rId28">
        <w:r w:rsidDel="00000000" w:rsidR="00000000" w:rsidRPr="00000000">
          <w:rPr>
            <w:rFonts w:ascii="Calibri" w:cs="Calibri" w:eastAsia="Calibri" w:hAnsi="Calibri"/>
            <w:sz w:val="18"/>
            <w:szCs w:val="18"/>
            <w:highlight w:val="white"/>
            <w:rtl w:val="0"/>
          </w:rPr>
          <w:t xml:space="preserve"> </w:t>
        </w:r>
      </w:hyperlink>
      <w:hyperlink r:id="rId29">
        <w:r w:rsidDel="00000000" w:rsidR="00000000" w:rsidRPr="00000000">
          <w:rPr>
            <w:rFonts w:ascii="Calibri" w:cs="Calibri" w:eastAsia="Calibri" w:hAnsi="Calibri"/>
            <w:color w:val="0000ff"/>
            <w:sz w:val="18"/>
            <w:szCs w:val="18"/>
            <w:highlight w:val="white"/>
            <w:u w:val="single"/>
            <w:rtl w:val="0"/>
          </w:rPr>
          <w:t xml:space="preserve">BY-NC-SA 4.0</w:t>
        </w:r>
      </w:hyperlink>
      <w:r w:rsidDel="00000000" w:rsidR="00000000" w:rsidRPr="00000000">
        <w:rPr>
          <w:rFonts w:ascii="Calibri" w:cs="Calibri" w:eastAsia="Calibri" w:hAnsi="Calibri"/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white"/>
        </w:rPr>
        <w:drawing>
          <wp:inline distB="114300" distT="114300" distL="114300" distR="114300">
            <wp:extent cx="520700" cy="190500"/>
            <wp:effectExtent b="0" l="0" r="0" t="0"/>
            <wp:docPr descr="Creative Commons License 4.0 https://creativecommons.org/licenses/by-nc-sa/4.0/" id="1" name="image1.png"/>
            <a:graphic>
              <a:graphicData uri="http://schemas.openxmlformats.org/drawingml/2006/picture">
                <pic:pic>
                  <pic:nvPicPr>
                    <pic:cNvPr descr="Creative Commons License 4.0 https://creativecommons.org/licenses/by-nc-sa/4.0/" id="0" name="image1.pn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teaching.cornell.edu/teaching-resources/building-inclusive-classrooms" TargetMode="External"/><Relationship Id="rId22" Type="http://schemas.openxmlformats.org/officeDocument/2006/relationships/hyperlink" Target="https://access.ucf.edu/document/tips-for-creating-inclusive-college-classrooms/" TargetMode="External"/><Relationship Id="rId21" Type="http://schemas.openxmlformats.org/officeDocument/2006/relationships/hyperlink" Target="https://crlt.umich.edu/gsis/p3_1" TargetMode="External"/><Relationship Id="rId24" Type="http://schemas.openxmlformats.org/officeDocument/2006/relationships/hyperlink" Target="https://in.nau.edu/dean-of-students/disruptive-students/" TargetMode="External"/><Relationship Id="rId23" Type="http://schemas.openxmlformats.org/officeDocument/2006/relationships/hyperlink" Target="https://www.insidehighered.com/advice/2020/08/05/small-steps-instructors-can-take-build-more-inclusive-classrooms-opinion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studentaffairs.psu.edu/sites/default/files/OSACR_StudentBehaviorFlowChart_2024.pdf" TargetMode="External"/><Relationship Id="rId26" Type="http://schemas.openxmlformats.org/officeDocument/2006/relationships/hyperlink" Target="https://studentaffairs.psu.edu/student-accountability/resources/faculty-staff" TargetMode="External"/><Relationship Id="rId25" Type="http://schemas.openxmlformats.org/officeDocument/2006/relationships/hyperlink" Target="https://cm.maxient.com/reportingform.php?PennState=&amp;layout_id=34" TargetMode="External"/><Relationship Id="rId28" Type="http://schemas.openxmlformats.org/officeDocument/2006/relationships/hyperlink" Target="https://creativecommons.org/licenses/by-nc-sa/4.0/" TargetMode="External"/><Relationship Id="rId27" Type="http://schemas.openxmlformats.org/officeDocument/2006/relationships/hyperlink" Target="https://www.jmu.edu/uwc/tutor-resources/_files/microaggressions.pdf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29" Type="http://schemas.openxmlformats.org/officeDocument/2006/relationships/hyperlink" Target="https://creativecommons.org/licenses/by-nc-sa/4.0/" TargetMode="External"/><Relationship Id="rId7" Type="http://schemas.openxmlformats.org/officeDocument/2006/relationships/hyperlink" Target="https://www.schreyerinstitute.psu.edu/directory" TargetMode="External"/><Relationship Id="rId8" Type="http://schemas.openxmlformats.org/officeDocument/2006/relationships/hyperlink" Target="mailto:site@psu.edu" TargetMode="External"/><Relationship Id="rId30" Type="http://schemas.openxmlformats.org/officeDocument/2006/relationships/image" Target="media/image1.png"/><Relationship Id="rId11" Type="http://schemas.openxmlformats.org/officeDocument/2006/relationships/hyperlink" Target="https://www.schreyerinstitute.psu.edu/pdf/Taking_ACTION_on_Disruptions_or_Microaggressions.pdf" TargetMode="External"/><Relationship Id="rId10" Type="http://schemas.openxmlformats.org/officeDocument/2006/relationships/hyperlink" Target="http://equity.psu.edu/offices/senior-faculty-mentors/materials-and-resources/classroom-disruption-protocols-09-06-2024" TargetMode="External"/><Relationship Id="rId13" Type="http://schemas.openxmlformats.org/officeDocument/2006/relationships/hyperlink" Target="https://www.schreyerinstitute.psu.edu/pdf/CourseNormsDiscussionGuidelines.pdf" TargetMode="External"/><Relationship Id="rId12" Type="http://schemas.openxmlformats.org/officeDocument/2006/relationships/hyperlink" Target="https://www.schreyerinstitute.psu.edu/pdf/Navigating_Disruptions.pdf" TargetMode="External"/><Relationship Id="rId15" Type="http://schemas.openxmlformats.org/officeDocument/2006/relationships/hyperlink" Target="https://weblearning.psu.edu/resources/penn-state-online-resources/responding-to-student-behavior-in-the-classroom/" TargetMode="External"/><Relationship Id="rId14" Type="http://schemas.openxmlformats.org/officeDocument/2006/relationships/hyperlink" Target="https://wcfd.psu.edu/blog/responding-to-disruptions-in-asynchronous-courses/" TargetMode="External"/><Relationship Id="rId17" Type="http://schemas.openxmlformats.org/officeDocument/2006/relationships/hyperlink" Target="https://equity.psu.edu/bias-response/submitting-a-bias-report" TargetMode="External"/><Relationship Id="rId16" Type="http://schemas.openxmlformats.org/officeDocument/2006/relationships/hyperlink" Target="https://studentaffairs.psu.edu/report" TargetMode="External"/><Relationship Id="rId19" Type="http://schemas.openxmlformats.org/officeDocument/2006/relationships/hyperlink" Target="https://redfolder.psu.edu/" TargetMode="External"/><Relationship Id="rId18" Type="http://schemas.openxmlformats.org/officeDocument/2006/relationships/hyperlink" Target="https://facultyaffairs.psu.edu/project/building-inclusive-campus-environments-leadership-for-bias-respon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